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152.png" ContentType="image/png"/>
  <Override PartName="/word/media/rId146.png" ContentType="image/png"/>
  <Override PartName="/word/media/rId130.png" ContentType="image/png"/>
  <Override PartName="/word/media/rId161.png" ContentType="image/png"/>
  <Override PartName="/word/media/rId163.png" ContentType="image/png"/>
  <Override PartName="/word/media/rId156.png" ContentType="image/png"/>
  <Override PartName="/word/media/rId124.png" ContentType="image/png"/>
  <Override PartName="/word/media/rId122.png" ContentType="image/png"/>
  <Override PartName="/word/media/rId158.png" ContentType="image/png"/>
  <Override PartName="/word/media/rId139.png" ContentType="image/png"/>
  <Override PartName="/word/media/rId178.png" ContentType="image/png"/>
  <Override PartName="/word/media/rId185.png" ContentType="image/png"/>
  <Override PartName="/word/media/rId183.png" ContentType="image/png"/>
  <Override PartName="/word/media/rId189.png" ContentType="image/png"/>
  <Override PartName="/word/media/rId193.png" ContentType="image/png"/>
  <Override PartName="/word/media/rId176.png" ContentType="image/png"/>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17,</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202"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75"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22"/>
                    <a:stretch>
                      <a:fillRect/>
                    </a:stretch>
                  </pic:blipFill>
                  <pic:spPr bwMode="auto">
                    <a:xfrm>
                      <a:off x="0" y="0"/>
                      <a:ext cx="3733800" cy="914400"/>
                    </a:xfrm>
                    <a:prstGeom prst="rect">
                      <a:avLst/>
                    </a:prstGeom>
                    <a:noFill/>
                    <a:ln w="9525">
                      <a:noFill/>
                      <a:headEnd/>
                      <a:tailEnd/>
                    </a:ln>
                  </pic:spPr>
                </pic:pic>
              </a:graphicData>
            </a:graphic>
          </wp:inline>
        </w:drawing>
      </w:r>
    </w:p>
    <w:bookmarkStart w:id="123" w:name="learning-goals-3"/>
    <w:p>
      <w:pPr>
        <w:pStyle w:val="Heading4"/>
      </w:pPr>
      <w:r>
        <w:t xml:space="preserve">Learning Goals</w:t>
      </w:r>
    </w:p>
    <w:p>
      <w:pPr>
        <w:numPr>
          <w:ilvl w:val="0"/>
          <w:numId w:val="1033"/>
        </w:numPr>
        <w:pStyle w:val="Compact"/>
      </w:pPr>
      <w:r>
        <w:t xml:space="preserve">Use FlyBase to look up information about genes by name, gene symbol, or FlyBase ID number</w:t>
      </w:r>
    </w:p>
    <w:p>
      <w:pPr>
        <w:numPr>
          <w:ilvl w:val="0"/>
          <w:numId w:val="1033"/>
        </w:numPr>
        <w:pStyle w:val="Compact"/>
      </w:pPr>
      <w:r>
        <w:t xml:space="preserve">Use FlyBase to find fruit fly models of human disease</w:t>
      </w:r>
    </w:p>
    <w:bookmarkEnd w:id="123"/>
    <w:bookmarkStart w:id="127"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5" w:name="fig15"/>
      <w:r>
        <w:t xml:space="preserve">Figure </w:t>
      </w:r>
      <w:fldSimple w:instr="SEQ Figure \* ARABIC ">
        <w:r>
          <w:t>15</w:t>
        </w:r>
      </w:fldSimple>
      <w:r>
        <w:t xml:space="preserve">:</w:t>
      </w:r>
      <w:r>
        <w:t xml:space="preserve"> </w:t>
      </w:r>
      <w:bookmarkEnd w:id="125"/>
      <w:r>
        <w:t xml:space="preserve">Figure 6.1: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FlyBase (</w:t>
      </w:r>
      <w:hyperlink r:id="rId126">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27"/>
    <w:bookmarkStart w:id="144"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28"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28"/>
    <w:bookmarkStart w:id="133"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2: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9" w:name="fig16"/>
      <w:r>
        <w:t xml:space="preserve">Figure </w:t>
      </w:r>
      <w:fldSimple w:instr="SEQ Figure \* ARABIC ">
        <w:r>
          <w:t>16</w:t>
        </w:r>
      </w:fldSimple>
      <w:r>
        <w:t xml:space="preserve">:</w:t>
      </w:r>
      <w:r>
        <w:t xml:space="preserve"> </w:t>
      </w:r>
      <w:bookmarkEnd w:id="129"/>
      <w:r>
        <w:t xml:space="preserve">Figure 5.2: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3: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0"/>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1" w:name="fig17"/>
      <w:r>
        <w:t xml:space="preserve">Figure </w:t>
      </w:r>
      <w:fldSimple w:instr="SEQ Figure \* ARABIC ">
        <w:r>
          <w:t>17</w:t>
        </w:r>
      </w:fldSimple>
      <w:r>
        <w:t xml:space="preserve">:</w:t>
      </w:r>
      <w:r>
        <w:t xml:space="preserve"> </w:t>
      </w:r>
      <w:bookmarkEnd w:id="131"/>
      <w:r>
        <w:t xml:space="preserve">Figure 5.3: Katherine Cox (2021). Screenshot of the top of the FlyBase gene page for Ace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numPr>
          <w:ilvl w:val="0"/>
          <w:numId w:val="1034"/>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34"/>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33"/>
    <w:bookmarkStart w:id="137"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35"/>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35"/>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35"/>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34"/>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35" w:name="fig18"/>
      <w:r>
        <w:t xml:space="preserve">Figure </w:t>
      </w:r>
      <w:fldSimple w:instr="SEQ Figure \* ARABIC ">
        <w:r>
          <w:t>18</w:t>
        </w:r>
      </w:fldSimple>
      <w:r>
        <w:t xml:space="preserve">:</w:t>
      </w:r>
      <w:r>
        <w:t xml:space="preserve"> </w:t>
      </w:r>
      <w:bookmarkEnd w:id="135"/>
      <w:r>
        <w:t xml:space="preserve">Figure 6.2: Katherine Cox (2021). Screenshot of the Gene Ontology section of the FlyBase gene page for Ace</w:t>
      </w:r>
      <w:r>
        <w:t xml:space="preserve"> </w:t>
      </w:r>
      <w:hyperlink r:id="rId136">
        <w:r>
          <w:rPr>
            <w:rStyle w:val="Hyperlink"/>
          </w:rPr>
          <w:t xml:space="preserve">https://flybase.org/reports/FBgn0000024#function</w:t>
        </w:r>
      </w:hyperlink>
      <w:r>
        <w:t xml:space="preserve">. License:</w:t>
      </w:r>
      <w:r>
        <w:t xml:space="preserve"> </w:t>
      </w:r>
      <w:hyperlink r:id="rId76">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37"/>
    <w:bookmarkStart w:id="138"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38"/>
    <w:bookmarkStart w:id="142"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39"/>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0" w:name="fig19"/>
      <w:r>
        <w:t xml:space="preserve">Figure </w:t>
      </w:r>
      <w:fldSimple w:instr="SEQ Figure \* ARABIC ">
        <w:r>
          <w:t>19</w:t>
        </w:r>
      </w:fldSimple>
      <w:r>
        <w:t xml:space="preserve">:</w:t>
      </w:r>
      <w:r>
        <w:t xml:space="preserve"> </w:t>
      </w:r>
      <w:bookmarkEnd w:id="140"/>
      <w:r>
        <w:t xml:space="preserve">Figure 6.3: Katherine Cox (2021). Screenshot of the top of the FlyBase gene page for unknown gene CG14448</w:t>
      </w:r>
      <w:r>
        <w:t xml:space="preserve"> </w:t>
      </w:r>
      <w:hyperlink r:id="rId141">
        <w:r>
          <w:rPr>
            <w:rStyle w:val="Hyperlink"/>
          </w:rPr>
          <w:t xml:space="preserve">https://flybase.org/reports/FBgn0037191</w:t>
        </w:r>
      </w:hyperlink>
      <w:r>
        <w:t xml:space="preserve">. License:</w:t>
      </w:r>
      <w:r>
        <w:t xml:space="preserve"> </w:t>
      </w:r>
      <w:hyperlink r:id="rId76">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42"/>
    <w:bookmarkStart w:id="143"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43"/>
    <w:bookmarkEnd w:id="144"/>
    <w:bookmarkStart w:id="145"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36"/>
        </w:numPr>
        <w:pStyle w:val="Compact"/>
      </w:pPr>
      <w:r>
        <w:t xml:space="preserve">What is the FlyBase ID number for</w:t>
      </w:r>
      <w:r>
        <w:t xml:space="preserve"> </w:t>
      </w:r>
      <w:r>
        <w:rPr>
          <w:iCs/>
          <w:i/>
        </w:rPr>
        <w:t xml:space="preserve">lab</w:t>
      </w:r>
      <w:r>
        <w:t xml:space="preserve">?</w:t>
      </w:r>
    </w:p>
    <w:p>
      <w:pPr>
        <w:numPr>
          <w:ilvl w:val="0"/>
          <w:numId w:val="1036"/>
        </w:numPr>
        <w:pStyle w:val="Compact"/>
      </w:pPr>
      <w:r>
        <w:t xml:space="preserve">What biological processes is the</w:t>
      </w:r>
      <w:r>
        <w:t xml:space="preserve"> </w:t>
      </w:r>
      <w:r>
        <w:rPr>
          <w:iCs/>
          <w:i/>
        </w:rPr>
        <w:t xml:space="preserve">lab</w:t>
      </w:r>
      <w:r>
        <w:t xml:space="preserve"> </w:t>
      </w:r>
      <w:r>
        <w:t xml:space="preserve">gene involved in?</w:t>
      </w:r>
    </w:p>
    <w:bookmarkEnd w:id="145"/>
    <w:bookmarkStart w:id="150"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49"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4: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46"/>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47" w:name="fig20"/>
      <w:r>
        <w:t xml:space="preserve">Figure </w:t>
      </w:r>
      <w:fldSimple w:instr="SEQ Figure \* ARABIC ">
        <w:r>
          <w:t>20</w:t>
        </w:r>
      </w:fldSimple>
      <w:r>
        <w:t xml:space="preserve">:</w:t>
      </w:r>
      <w:r>
        <w:t xml:space="preserve"> </w:t>
      </w:r>
      <w:bookmarkEnd w:id="147"/>
      <w:r>
        <w:t xml:space="preserve">Figure 5.4: Katherine Cox (2021). Screenshot of the Orthologs section of the FlyBase gene page for Ace</w:t>
      </w:r>
      <w:r>
        <w:t xml:space="preserve"> </w:t>
      </w:r>
      <w:hyperlink r:id="rId148">
        <w:r>
          <w:rPr>
            <w:rStyle w:val="Hyperlink"/>
          </w:rPr>
          <w:t xml:space="preserve">https://flybase.org/reports/FBgn0000024#orthologs</w:t>
        </w:r>
      </w:hyperlink>
      <w:r>
        <w:t xml:space="preserve">. License:</w:t>
      </w:r>
      <w:r>
        <w:t xml:space="preserve"> </w:t>
      </w:r>
      <w:hyperlink r:id="rId76">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49"/>
    <w:bookmarkEnd w:id="150"/>
    <w:bookmarkStart w:id="151"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37"/>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37"/>
        </w:numPr>
        <w:pStyle w:val="Compact"/>
      </w:pPr>
      <w:r>
        <w:t xml:space="preserve">How many programs think this gene is an ortholog of</w:t>
      </w:r>
      <w:r>
        <w:t xml:space="preserve"> </w:t>
      </w:r>
      <w:r>
        <w:rPr>
          <w:iCs/>
          <w:i/>
        </w:rPr>
        <w:t xml:space="preserve">lab</w:t>
      </w:r>
      <w:r>
        <w:t xml:space="preserve">?</w:t>
      </w:r>
    </w:p>
    <w:bookmarkEnd w:id="151"/>
    <w:bookmarkStart w:id="168"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38"/>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38"/>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38"/>
        </w:numPr>
        <w:pStyle w:val="Compact"/>
      </w:pPr>
      <w:r>
        <w:rPr>
          <w:bCs/>
          <w:b/>
        </w:rPr>
        <w:t xml:space="preserve">Modifiers Based on Experimental Evidence</w:t>
      </w:r>
      <w:r>
        <w:t xml:space="preserve">: this gene doesn’t directly cause a disease, but makes a disease caused by a different gene better or worse</w:t>
      </w:r>
    </w:p>
    <w:bookmarkStart w:id="155"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52"/>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53" w:name="fig21"/>
      <w:r>
        <w:t xml:space="preserve">Figure </w:t>
      </w:r>
      <w:fldSimple w:instr="SEQ Figure \* ARABIC ">
        <w:r>
          <w:t>21</w:t>
        </w:r>
      </w:fldSimple>
      <w:r>
        <w:t xml:space="preserve">:</w:t>
      </w:r>
      <w:r>
        <w:t xml:space="preserve"> </w:t>
      </w:r>
      <w:bookmarkEnd w:id="153"/>
      <w:r>
        <w:t xml:space="preserve">Figure 6.4: Katherine Cox (2021). Screenshot of the Human Disease Associations section of the FlyBase gene page for Ace</w:t>
      </w:r>
      <w:r>
        <w:t xml:space="preserve"> </w:t>
      </w:r>
      <w:hyperlink r:id="rId154">
        <w:r>
          <w:rPr>
            <w:rStyle w:val="Hyperlink"/>
          </w:rPr>
          <w:t xml:space="preserve">https://flybase.org/reports/FBgn0000024#hdm</w:t>
        </w:r>
      </w:hyperlink>
      <w:r>
        <w:t xml:space="preserve">. License:</w:t>
      </w:r>
      <w:r>
        <w:t xml:space="preserve"> </w:t>
      </w:r>
      <w:hyperlink r:id="rId76">
        <w:r>
          <w:rPr>
            <w:rStyle w:val="Hyperlink"/>
          </w:rPr>
          <w:t xml:space="preserve">CC BY 4.0</w:t>
        </w:r>
      </w:hyperlink>
    </w:p>
    <w:bookmarkEnd w:id="155"/>
    <w:bookmarkStart w:id="166"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39"/>
        </w:numPr>
        <w:pStyle w:val="Compact"/>
      </w:pPr>
      <w:r>
        <w:t xml:space="preserve">Go to the FlyBase homepage</w:t>
      </w:r>
    </w:p>
    <w:p>
      <w:pPr>
        <w:numPr>
          <w:ilvl w:val="0"/>
          <w:numId w:val="1039"/>
        </w:numPr>
        <w:pStyle w:val="Compact"/>
      </w:pPr>
      <w:r>
        <w:t xml:space="preserve">In the Quick Search box, select</w:t>
      </w:r>
      <w:r>
        <w:t xml:space="preserve"> </w:t>
      </w:r>
      <w:r>
        <w:t xml:space="preserve">“</w:t>
      </w:r>
      <w:r>
        <w:t xml:space="preserve">Human Disease</w:t>
      </w:r>
      <w:r>
        <w:t xml:space="preserve">”</w:t>
      </w:r>
    </w:p>
    <w:p>
      <w:pPr>
        <w:numPr>
          <w:ilvl w:val="0"/>
          <w:numId w:val="1039"/>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56"/>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57" w:name="fig22"/>
      <w:r>
        <w:t xml:space="preserve">Figure </w:t>
      </w:r>
      <w:fldSimple w:instr="SEQ Figure \* ARABIC ">
        <w:r>
          <w:t>22</w:t>
        </w:r>
      </w:fldSimple>
      <w:r>
        <w:t xml:space="preserve">:</w:t>
      </w:r>
      <w:r>
        <w:t xml:space="preserve"> </w:t>
      </w:r>
      <w:bookmarkEnd w:id="157"/>
      <w:r>
        <w:t xml:space="preserve">Figure 6.5: Katherine Cox (2021). Screenshot of FlyBase QuickSearch</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58"/>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59" w:name="fig23"/>
      <w:r>
        <w:t xml:space="preserve">Figure </w:t>
      </w:r>
      <w:fldSimple w:instr="SEQ Figure \* ARABIC ">
        <w:r>
          <w:t>23</w:t>
        </w:r>
      </w:fldSimple>
      <w:r>
        <w:t xml:space="preserve">:</w:t>
      </w:r>
      <w:r>
        <w:t xml:space="preserve"> </w:t>
      </w:r>
      <w:bookmarkEnd w:id="159"/>
      <w:r>
        <w:t xml:space="preserve">Figure 6.6: Katherine Cox (2021). search results for Huntington’s disease on FlyBase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0">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1"/>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62" w:name="fig24"/>
      <w:r>
        <w:t xml:space="preserve">Figure </w:t>
      </w:r>
      <w:fldSimple w:instr="SEQ Figure \* ARABIC ">
        <w:r>
          <w:t>24</w:t>
        </w:r>
      </w:fldSimple>
      <w:r>
        <w:t xml:space="preserve">:</w:t>
      </w:r>
      <w:r>
        <w:t xml:space="preserve"> </w:t>
      </w:r>
      <w:bookmarkEnd w:id="162"/>
      <w:r>
        <w:t xml:space="preserve">Figure 6.7: Katherine Cox (2021). Screenshot of the top of the FlyBase Human Disease Model page for Huntington’s disease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63"/>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64" w:name="fig25"/>
      <w:r>
        <w:t xml:space="preserve">Figure </w:t>
      </w:r>
      <w:fldSimple w:instr="SEQ Figure \* ARABIC ">
        <w:r>
          <w:t>25</w:t>
        </w:r>
      </w:fldSimple>
      <w:r>
        <w:t xml:space="preserve">:</w:t>
      </w:r>
      <w:r>
        <w:t xml:space="preserve"> </w:t>
      </w:r>
      <w:bookmarkEnd w:id="164"/>
      <w:r>
        <w:t xml:space="preserve">Figure 6.8: Katherine Cox (2021). Screenshot of the Drosophila Gene Information section of the FlyBase page for the Huntington’s disease Human Disease Model</w:t>
      </w:r>
      <w:r>
        <w:t xml:space="preserve"> </w:t>
      </w:r>
      <w:hyperlink r:id="rId165">
        <w:r>
          <w:rPr>
            <w:rStyle w:val="Hyperlink"/>
          </w:rPr>
          <w:t xml:space="preserve">https://flybase.org/reports/FBhh0000003#dmel_gene_info</w:t>
        </w:r>
      </w:hyperlink>
      <w:r>
        <w:t xml:space="preserve">. License:</w:t>
      </w:r>
      <w:r>
        <w:t xml:space="preserve"> </w:t>
      </w:r>
      <w:hyperlink r:id="rId76">
        <w:r>
          <w:rPr>
            <w:rStyle w:val="Hyperlink"/>
          </w:rPr>
          <w:t xml:space="preserve">CC BY 4.0</w:t>
        </w:r>
      </w:hyperlink>
    </w:p>
    <w:bookmarkEnd w:id="166"/>
    <w:bookmarkStart w:id="167"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67"/>
    <w:bookmarkEnd w:id="168"/>
    <w:bookmarkStart w:id="169"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0"/>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0"/>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69"/>
    <w:bookmarkStart w:id="170"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0"/>
    <w:bookmarkStart w:id="174"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1"/>
        </w:numPr>
        <w:pStyle w:val="Compact"/>
      </w:pPr>
      <w:r>
        <w:t xml:space="preserve">Gene functions and interactions</w:t>
      </w:r>
    </w:p>
    <w:p>
      <w:pPr>
        <w:numPr>
          <w:ilvl w:val="0"/>
          <w:numId w:val="1041"/>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1"/>
        </w:numPr>
        <w:pStyle w:val="Compact"/>
      </w:pPr>
      <w:r>
        <w:rPr>
          <w:iCs/>
          <w:i/>
        </w:rPr>
        <w:t xml:space="preserve">Drosophila</w:t>
      </w:r>
      <w:r>
        <w:t xml:space="preserve"> </w:t>
      </w:r>
      <w:r>
        <w:t xml:space="preserve">genes that are relevant to human diseases</w:t>
      </w:r>
    </w:p>
    <w:p>
      <w:pPr>
        <w:numPr>
          <w:ilvl w:val="0"/>
          <w:numId w:val="1041"/>
        </w:numPr>
        <w:pStyle w:val="Compact"/>
      </w:pPr>
      <w:r>
        <w:t xml:space="preserve">The name, symbol or ID number for a gene, so you can research it on other databases.</w:t>
      </w:r>
    </w:p>
    <w:bookmarkStart w:id="173"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42"/>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42"/>
        </w:numPr>
        <w:pStyle w:val="Compact"/>
      </w:pPr>
      <w:r>
        <w:t xml:space="preserve">Visit</w:t>
      </w:r>
      <w:r>
        <w:t xml:space="preserve"> </w:t>
      </w:r>
      <w:hyperlink r:id="rId171">
        <w:r>
          <w:rPr>
            <w:rStyle w:val="Hyperlink"/>
          </w:rPr>
          <w:t xml:space="preserve">FlyBase TV</w:t>
        </w:r>
      </w:hyperlink>
      <w:r>
        <w:t xml:space="preserve">, the FlyBase YouTube channel</w:t>
      </w:r>
    </w:p>
    <w:p>
      <w:pPr>
        <w:numPr>
          <w:ilvl w:val="0"/>
          <w:numId w:val="1042"/>
        </w:numPr>
        <w:pStyle w:val="Compact"/>
      </w:pPr>
      <w:r>
        <w:t xml:space="preserve">Look at the FlyBase</w:t>
      </w:r>
      <w:r>
        <w:t xml:space="preserve"> </w:t>
      </w:r>
      <w:r>
        <w:t xml:space="preserve">“</w:t>
      </w:r>
      <w:hyperlink r:id="rId172">
        <w:r>
          <w:rPr>
            <w:rStyle w:val="Hyperlink"/>
          </w:rPr>
          <w:t xml:space="preserve">New to Flies</w:t>
        </w:r>
      </w:hyperlink>
      <w:r>
        <w:t xml:space="preserve">”</w:t>
      </w:r>
      <w:r>
        <w:t xml:space="preserve"> </w:t>
      </w:r>
      <w:r>
        <w:t xml:space="preserve">wiki page</w:t>
      </w:r>
    </w:p>
    <w:bookmarkEnd w:id="173"/>
    <w:bookmarkEnd w:id="174"/>
    <w:bookmarkEnd w:id="175"/>
    <w:bookmarkStart w:id="200"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176"/>
                    <a:stretch>
                      <a:fillRect/>
                    </a:stretch>
                  </pic:blipFill>
                  <pic:spPr bwMode="auto">
                    <a:xfrm>
                      <a:off x="0" y="0"/>
                      <a:ext cx="3465767" cy="524341"/>
                    </a:xfrm>
                    <a:prstGeom prst="rect">
                      <a:avLst/>
                    </a:prstGeom>
                    <a:noFill/>
                    <a:ln w="9525">
                      <a:noFill/>
                      <a:headEnd/>
                      <a:tailEnd/>
                    </a:ln>
                  </pic:spPr>
                </pic:pic>
              </a:graphicData>
            </a:graphic>
          </wp:inline>
        </w:drawing>
      </w:r>
    </w:p>
    <w:bookmarkStart w:id="177" w:name="learning-goals-4"/>
    <w:p>
      <w:pPr>
        <w:pStyle w:val="Heading4"/>
      </w:pPr>
      <w:r>
        <w:t xml:space="preserve">Learning Goals</w:t>
      </w:r>
    </w:p>
    <w:p>
      <w:pPr>
        <w:numPr>
          <w:ilvl w:val="0"/>
          <w:numId w:val="1043"/>
        </w:numPr>
        <w:pStyle w:val="Compact"/>
      </w:pPr>
      <w:r>
        <w:t xml:space="preserve">Use the Human Protein Atlas to look up proteins by name and find out where they are localized.</w:t>
      </w:r>
    </w:p>
    <w:bookmarkEnd w:id="177"/>
    <w:bookmarkStart w:id="181"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178"/>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179" w:name="fig26"/>
      <w:r>
        <w:t xml:space="preserve">Figure </w:t>
      </w:r>
      <w:fldSimple w:instr="SEQ Figure \* ARABIC ">
        <w:r>
          <w:t>26</w:t>
        </w:r>
      </w:fldSimple>
      <w:r>
        <w:t xml:space="preserve">:</w:t>
      </w:r>
      <w:r>
        <w:t xml:space="preserve"> </w:t>
      </w:r>
      <w:bookmarkEnd w:id="179"/>
      <w:r>
        <w:t xml:space="preserve">Figure 6.1: Katherine Cox (2021). Screenshot of the Human Protein Atlas homepage</w:t>
      </w:r>
      <w:r>
        <w:t xml:space="preserve"> </w:t>
      </w:r>
      <w:hyperlink r:id="rId26">
        <w:r>
          <w:rPr>
            <w:rStyle w:val="Hyperlink"/>
          </w:rPr>
          <w:t xml:space="preserve">https://www.proteinatlas.org/</w:t>
        </w:r>
      </w:hyperlink>
      <w:r>
        <w:t xml:space="preserve">. License:</w:t>
      </w:r>
      <w:r>
        <w:t xml:space="preserve"> </w:t>
      </w:r>
      <w:hyperlink r:id="rId76">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180"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44"/>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44"/>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45"/>
        </w:numPr>
        <w:pStyle w:val="Compact"/>
      </w:pPr>
      <w:r>
        <w:t xml:space="preserve">Carrying out chemical reactions</w:t>
      </w:r>
    </w:p>
    <w:p>
      <w:pPr>
        <w:numPr>
          <w:ilvl w:val="1"/>
          <w:numId w:val="1045"/>
        </w:numPr>
        <w:pStyle w:val="Compact"/>
      </w:pPr>
      <w:r>
        <w:t xml:space="preserve">Moving materials around inside the cell</w:t>
      </w:r>
    </w:p>
    <w:p>
      <w:pPr>
        <w:numPr>
          <w:ilvl w:val="1"/>
          <w:numId w:val="1045"/>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180"/>
    <w:bookmarkEnd w:id="181"/>
    <w:bookmarkStart w:id="197"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182">
        <w:r>
          <w:rPr>
            <w:rStyle w:val="Hyperlink"/>
            <w:bCs/>
            <w:b/>
          </w:rPr>
          <w:t xml:space="preserve">insulin</w:t>
        </w:r>
      </w:hyperlink>
      <w:r>
        <w:t xml:space="preserve">.</w:t>
      </w:r>
    </w:p>
    <w:bookmarkStart w:id="187" w:name="protein-summary"/>
    <w:p>
      <w:pPr>
        <w:pStyle w:val="Heading4"/>
      </w:pPr>
      <w:r>
        <w:t xml:space="preserve">Protein Summary</w:t>
      </w:r>
    </w:p>
    <w:p>
      <w:pPr>
        <w:pStyle w:val="CaptionedFigure"/>
      </w:pPr>
      <w:r>
        <w:drawing>
          <wp:inline>
            <wp:extent cx="5334000" cy="2775339"/>
            <wp:effectExtent b="0" l="0" r="0" t="0"/>
            <wp:docPr descr="Figure 5.2: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183"/>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184" w:name="fig27"/>
      <w:r>
        <w:t xml:space="preserve">Figure </w:t>
      </w:r>
      <w:fldSimple w:instr="SEQ Figure \* ARABIC ">
        <w:r>
          <w:t>27</w:t>
        </w:r>
      </w:fldSimple>
      <w:r>
        <w:t xml:space="preserve">:</w:t>
      </w:r>
      <w:r>
        <w:t xml:space="preserve"> </w:t>
      </w:r>
      <w:bookmarkEnd w:id="184"/>
      <w:r>
        <w:t xml:space="preserve">Figure 5.2: Katherine Cox (2023). Screenshot of the top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6"/>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46"/>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46"/>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3: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185"/>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186" w:name="fig28"/>
      <w:r>
        <w:t xml:space="preserve">Figure </w:t>
      </w:r>
      <w:fldSimple w:instr="SEQ Figure \* ARABIC ">
        <w:r>
          <w:t>28</w:t>
        </w:r>
      </w:fldSimple>
      <w:r>
        <w:t xml:space="preserve">:</w:t>
      </w:r>
      <w:r>
        <w:t xml:space="preserve"> </w:t>
      </w:r>
      <w:bookmarkEnd w:id="186"/>
      <w:r>
        <w:t xml:space="preserve">Figure 5.3: Katherine Cox (2023). Screenshot of the Protein Function section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7"/>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47"/>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187"/>
    <w:bookmarkStart w:id="191" w:name="tissue-atlas"/>
    <w:p>
      <w:pPr>
        <w:pStyle w:val="Heading4"/>
      </w:pPr>
      <w:r>
        <w:t xml:space="preserve">Tissue Atlas</w:t>
      </w:r>
    </w:p>
    <w:p>
      <w:pPr>
        <w:pStyle w:val="FirstParagraph"/>
      </w:pPr>
      <w:r>
        <w:t xml:space="preserve">If we click on the</w:t>
      </w:r>
      <w:r>
        <w:t xml:space="preserve"> </w:t>
      </w:r>
      <w:hyperlink r:id="rId188">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2: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189"/>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190" w:name="fig29"/>
      <w:r>
        <w:t xml:space="preserve">Figure </w:t>
      </w:r>
      <w:fldSimple w:instr="SEQ Figure \* ARABIC ">
        <w:r>
          <w:t>29</w:t>
        </w:r>
      </w:fldSimple>
      <w:r>
        <w:t xml:space="preserve">:</w:t>
      </w:r>
      <w:r>
        <w:t xml:space="preserve"> </w:t>
      </w:r>
      <w:bookmarkEnd w:id="190"/>
      <w:r>
        <w:t xml:space="preserve">Figure 6.2: Katherine Cox (2023). Screenshot of the RNA and Protein Expression Summary section of the Tissue page for INS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191"/>
    <w:bookmarkStart w:id="195"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192">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3: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193"/>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194" w:name="fig30"/>
      <w:r>
        <w:t xml:space="preserve">Figure </w:t>
      </w:r>
      <w:fldSimple w:instr="SEQ Figure \* ARABIC ">
        <w:r>
          <w:t>30</w:t>
        </w:r>
      </w:fldSimple>
      <w:r>
        <w:t xml:space="preserve">:</w:t>
      </w:r>
      <w:r>
        <w:t xml:space="preserve"> </w:t>
      </w:r>
      <w:bookmarkEnd w:id="194"/>
      <w:r>
        <w:t xml:space="preserve">Figure 6.3: Katherine Cox (2023). Screenshot of the Summary section of the Subcell page for INSR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195"/>
    <w:bookmarkStart w:id="196"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196"/>
    <w:bookmarkEnd w:id="197"/>
    <w:bookmarkStart w:id="198"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48"/>
        </w:numPr>
        <w:pStyle w:val="Compact"/>
      </w:pPr>
      <w:r>
        <w:t xml:space="preserve">What is the name of the gene that encodes this protein?</w:t>
      </w:r>
    </w:p>
    <w:p>
      <w:pPr>
        <w:numPr>
          <w:ilvl w:val="0"/>
          <w:numId w:val="1048"/>
        </w:numPr>
        <w:pStyle w:val="Compact"/>
      </w:pPr>
      <w:r>
        <w:t xml:space="preserve">What tissues is this gene expressed in?</w:t>
      </w:r>
    </w:p>
    <w:p>
      <w:pPr>
        <w:numPr>
          <w:ilvl w:val="0"/>
          <w:numId w:val="1048"/>
        </w:numPr>
        <w:pStyle w:val="Compact"/>
      </w:pPr>
      <w:r>
        <w:t xml:space="preserve">Where in the cell is it localized?</w:t>
      </w:r>
    </w:p>
    <w:bookmarkEnd w:id="198"/>
    <w:bookmarkStart w:id="199"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49"/>
        </w:numPr>
        <w:pStyle w:val="Compact"/>
      </w:pPr>
      <w:r>
        <w:t xml:space="preserve">A convenient summary of what is known about the gene’s function</w:t>
      </w:r>
    </w:p>
    <w:p>
      <w:pPr>
        <w:numPr>
          <w:ilvl w:val="0"/>
          <w:numId w:val="1049"/>
        </w:numPr>
        <w:pStyle w:val="Compact"/>
      </w:pPr>
      <w:r>
        <w:t xml:space="preserve">Information on disease associations</w:t>
      </w:r>
    </w:p>
    <w:p>
      <w:pPr>
        <w:numPr>
          <w:ilvl w:val="0"/>
          <w:numId w:val="1049"/>
        </w:numPr>
        <w:pStyle w:val="Compact"/>
      </w:pPr>
      <w:r>
        <w:t xml:space="preserve">Nice graphical depictions of where the protein is active</w:t>
      </w:r>
    </w:p>
    <w:bookmarkEnd w:id="199"/>
    <w:bookmarkEnd w:id="200"/>
    <w:bookmarkStart w:id="201"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50"/>
        </w:numPr>
        <w:pStyle w:val="Compact"/>
      </w:pPr>
      <w:r>
        <w:t xml:space="preserve">MGD</w:t>
      </w:r>
    </w:p>
    <w:p>
      <w:pPr>
        <w:numPr>
          <w:ilvl w:val="0"/>
          <w:numId w:val="1050"/>
        </w:numPr>
        <w:pStyle w:val="Compact"/>
      </w:pPr>
      <w:r>
        <w:t xml:space="preserve">ZFIN</w:t>
      </w:r>
    </w:p>
    <w:p>
      <w:pPr>
        <w:numPr>
          <w:ilvl w:val="0"/>
          <w:numId w:val="1050"/>
        </w:numPr>
        <w:pStyle w:val="Compact"/>
      </w:pPr>
      <w:r>
        <w:t xml:space="preserve">PDB</w:t>
      </w:r>
    </w:p>
    <w:p>
      <w:pPr>
        <w:numPr>
          <w:ilvl w:val="0"/>
          <w:numId w:val="1050"/>
        </w:numPr>
        <w:pStyle w:val="Compact"/>
      </w:pPr>
      <w:r>
        <w:t xml:space="preserve">PubMed</w:t>
      </w:r>
    </w:p>
    <w:bookmarkEnd w:id="201"/>
    <w:bookmarkEnd w:id="202"/>
    <w:bookmarkStart w:id="203" w:name="appendix"/>
    <w:p>
      <w:pPr>
        <w:pStyle w:val="Heading1"/>
      </w:pPr>
      <w:r>
        <w:t xml:space="preserve">Appendix</w:t>
      </w:r>
    </w:p>
    <w:bookmarkEnd w:id="203"/>
    <w:bookmarkStart w:id="211" w:name="about-the-authors"/>
    <w:p>
      <w:pPr>
        <w:pStyle w:val="Heading1"/>
      </w:pPr>
      <w:r>
        <w:t xml:space="preserve">About the Authors</w:t>
      </w:r>
    </w:p>
    <w:p>
      <w:pPr>
        <w:pStyle w:val="FirstParagraph"/>
      </w:pPr>
      <w:r>
        <w:t xml:space="preserve">These credits are based on our</w:t>
      </w:r>
      <w:r>
        <w:t xml:space="preserve"> </w:t>
      </w:r>
      <w:hyperlink r:id="rId20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0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06">
              <w:r>
                <w:rPr>
                  <w:rStyle w:val="Hyperlink"/>
                </w:rPr>
                <w:t xml:space="preserve">Candace Savonen</w:t>
              </w:r>
            </w:hyperlink>
            <w:r>
              <w:t xml:space="preserve">,</w:t>
            </w:r>
            <w:r>
              <w:t xml:space="preserve"> </w:t>
            </w:r>
            <w:hyperlink r:id="rId207">
              <w:r>
                <w:rPr>
                  <w:rStyle w:val="Hyperlink"/>
                </w:rPr>
                <w:t xml:space="preserve">Carrie Wright</w:t>
              </w:r>
            </w:hyperlink>
            <w:r>
              <w:t xml:space="preserve">,</w:t>
            </w:r>
            <w:r>
              <w:t xml:space="preserve"> </w:t>
            </w:r>
            <w:hyperlink r:id="rId20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0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07">
              <w:r>
                <w:rPr>
                  <w:rStyle w:val="Hyperlink"/>
                </w:rPr>
                <w:t xml:space="preserve">Carrie Wright</w:t>
              </w:r>
            </w:hyperlink>
            <w:r>
              <w:t xml:space="preserve">,</w:t>
            </w:r>
            <w:r>
              <w:t xml:space="preserve"> </w:t>
            </w:r>
            <w:hyperlink r:id="rId208">
              <w:r>
                <w:rPr>
                  <w:rStyle w:val="Hyperlink"/>
                </w:rPr>
                <w:t xml:space="preserve">Ava Hoffman</w:t>
              </w:r>
            </w:hyperlink>
            <w:r>
              <w:t xml:space="preserve">,</w:t>
            </w:r>
            <w:r>
              <w:t xml:space="preserve"> </w:t>
            </w:r>
            <w:hyperlink r:id="rId206">
              <w:r>
                <w:rPr>
                  <w:rStyle w:val="Hyperlink"/>
                </w:rPr>
                <w:t xml:space="preserve">Candace Savonen</w:t>
              </w:r>
            </w:hyperlink>
          </w:p>
        </w:tc>
      </w:tr>
      <w:tr>
        <w:tc>
          <w:tcPr/>
          <w:p>
            <w:pPr>
              <w:pStyle w:val="Compact"/>
              <w:jc w:val="left"/>
            </w:pPr>
            <w:r>
              <w:t xml:space="preserve">Package Developers (</w:t>
            </w:r>
            <w:hyperlink r:id="rId209">
              <w:r>
                <w:rPr>
                  <w:rStyle w:val="Hyperlink"/>
                </w:rPr>
                <w:t xml:space="preserve">ottrpal</w:t>
              </w:r>
            </w:hyperlink>
            <w:r>
              <w:t xml:space="preserve">)</w:t>
            </w:r>
            <w:r>
              <w:t xml:space="preserve"> </w:t>
            </w:r>
            <w:hyperlink r:id="rId206">
              <w:r>
                <w:rPr>
                  <w:rStyle w:val="Hyperlink"/>
                </w:rPr>
                <w:t xml:space="preserve">Candace Savonen</w:t>
              </w:r>
            </w:hyperlink>
            <w:r>
              <w:t xml:space="preserve">,</w:t>
            </w:r>
            <w:r>
              <w:t xml:space="preserve"> </w:t>
            </w:r>
            <w:hyperlink r:id="rId210">
              <w:r>
                <w:rPr>
                  <w:rStyle w:val="Hyperlink"/>
                </w:rPr>
                <w:t xml:space="preserve">John Muschelli</w:t>
              </w:r>
            </w:hyperlink>
            <w:r>
              <w:t xml:space="preserve">,</w:t>
            </w:r>
            <w:r>
              <w:t xml:space="preserve"> </w:t>
            </w:r>
            <w:hyperlink r:id="rId20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11"/>
    <w:bookmarkStart w:id="212" w:name="references"/>
    <w:p>
      <w:pPr>
        <w:pStyle w:val="Heading1"/>
      </w:pPr>
      <w:r>
        <w:t xml:space="preserve">References</w:t>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30" Target="media/rId130.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56" Target="media/rId156.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58" Target="media/rId158.png" /><Relationship Type="http://schemas.openxmlformats.org/officeDocument/2006/relationships/image" Id="rId139" Target="media/rId13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76" Target="media/rId176.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2023-07-17T23:43:55Z</dcterms:created>
  <dcterms:modified xsi:type="dcterms:W3CDTF">2023-07-17T23:43:55Z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17,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